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answer choice that best completes the statement or answers the question.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prevents the bending or pinching of the umbilical cord that may stop blood flow to the infant?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Wharton’s jelly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amnion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arteries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veins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Fetal lung maturity can be predicted by withdrawing a sample of amniotic fluid and comparing the level of phosphatidylglycerol (PG) to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sphingomyelin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lecithin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ethanol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shunt encountered after blood enters the fetal abdominal cavity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ductus venosus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inferior vena cava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superior vena cava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foramen ovale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substance works to lower surface tension on the alveolar wall?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surfactant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mucus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what point in development does blood begin to flow?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around the third week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 days after conception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immediately preceding delivery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immediately after delivery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By the fifth week of development, the single atrium is divided into two separate chambers by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septum primum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pulmonary artery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truncus arteriosus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sinus venosus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which stage of fetal lung development does the greatest amount of vascularization occur?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canalicular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pseudoglandular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embryonal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saccular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which of the following stages does the ovum enter the uterus?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morula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trophoblast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blastocyst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blastomeres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foramen ovale is located between the right atrium and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 atrium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left ventricle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right ventricle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lungs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carries the fresh blood from the placenta through the umbilical cord and into the fetus?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umbilical vein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umbilical artery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hepatic portal vein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aorta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Normally, fetal lung fluid moves steadily at what 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 ml/hour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ml/hour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ml/hour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 L/hour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change from fetal circulation to adult circulation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resuscitation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pulmonary pressure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coordination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Alveoli continue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5"/>
              <w:gridCol w:w="8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in number for 8 years after birth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in number for 2 years after birth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 in number for the entire lifetime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maintain their count throughout childhood as the lungs are completely developed at birth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central and peripheral nervous system arise from which germ layer?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ectoderm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mesoderm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endoderm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philoderm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Baroreceptors are stimulated by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stretch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ventilation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the end of 40 weeks gestation, how much fluid is present in the amnion?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liter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milliliter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liters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milliliters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must the lung fluid be completely evacuated from the lungs at birth?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allow for unhindered ventilation in the neonate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reduce the size of the infant passing through the birth canal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allow the infant to nurse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collapse the airways during birth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Pressures in the right, or venous system, compared to those in the left, or arterial system of the fetus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higher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incomplete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thicker, outer layer of the embryonic disc, or blastoderm, is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ectoderm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endoderm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mesoderm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embryo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Secondary crests will eventually form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alveoli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goblet 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pulmonary surfactant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serous cells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the radius of a bubble, or alveolus, decreases, the surface tension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stays the same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fluctuates unpredictably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condition is characterized by the rapid deterioration in the respiratory status of a newborn following delivery?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respiratory distress syndrome (RDS)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sudden acute respiratory syndrome (SARS)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asthma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pneumonia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Exposure to which of the following can lead to severe congenital malformations?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radiation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vitamins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food coloring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Chemoreceptors play a role in the regulation of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ventilation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hypertension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 vessel diameter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cardiac contractility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Polyhydramnios indicates a problem with the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swallowing mechanism of the fetus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urinating mechanism of the fetus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cardiovascular function of the fetus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umbilical cord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2"/>
          <w:szCs w:val="22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David Royer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GE2TONZYHEZTSMRU</vt:lpwstr>
  </property>
</Properties>
</file>