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B1" w:rsidRDefault="00C00BB1" w:rsidP="00C00BB1">
      <w:pPr>
        <w:jc w:val="center"/>
        <w:rPr>
          <w:b/>
          <w:bCs/>
          <w:sz w:val="24"/>
          <w:szCs w:val="24"/>
        </w:rPr>
      </w:pPr>
      <w:r>
        <w:rPr>
          <w:b/>
          <w:bCs/>
          <w:sz w:val="24"/>
          <w:szCs w:val="24"/>
        </w:rPr>
        <w:t>Chapter 1 Exercises</w:t>
      </w:r>
    </w:p>
    <w:p w:rsidR="00C00BB1" w:rsidRDefault="00C00BB1" w:rsidP="00C00BB1">
      <w:pPr>
        <w:jc w:val="center"/>
        <w:rPr>
          <w:b/>
          <w:bCs/>
          <w:sz w:val="24"/>
          <w:szCs w:val="24"/>
        </w:rPr>
      </w:pPr>
      <w:r>
        <w:rPr>
          <w:b/>
          <w:bCs/>
          <w:sz w:val="24"/>
          <w:szCs w:val="24"/>
        </w:rPr>
        <w:t>Introduction to Cost-Benefit Analysis</w:t>
      </w:r>
    </w:p>
    <w:p w:rsidR="00C00BB1" w:rsidRDefault="00C00BB1" w:rsidP="00C00BB1">
      <w:pPr>
        <w:jc w:val="center"/>
        <w:rPr>
          <w:b/>
          <w:bCs/>
          <w:sz w:val="24"/>
          <w:szCs w:val="24"/>
        </w:rPr>
      </w:pPr>
    </w:p>
    <w:p w:rsidR="00C00BB1" w:rsidRDefault="00C00BB1" w:rsidP="00C00BB1">
      <w:pPr>
        <w:rPr>
          <w:b/>
          <w:sz w:val="24"/>
          <w:szCs w:val="24"/>
        </w:rPr>
      </w:pPr>
      <w:r>
        <w:rPr>
          <w:b/>
          <w:sz w:val="24"/>
          <w:szCs w:val="24"/>
        </w:rPr>
        <w:fldChar w:fldCharType="begin"/>
      </w:r>
      <w:r>
        <w:rPr>
          <w:b/>
          <w:sz w:val="24"/>
          <w:szCs w:val="24"/>
        </w:rPr>
        <w:instrText xml:space="preserve"> SEQ CHAPTER \h \r 1</w:instrText>
      </w:r>
      <w:r>
        <w:rPr>
          <w:b/>
          <w:sz w:val="24"/>
          <w:szCs w:val="24"/>
        </w:rPr>
        <w:fldChar w:fldCharType="end"/>
      </w:r>
      <w:r>
        <w:rPr>
          <w:b/>
          <w:sz w:val="24"/>
          <w:szCs w:val="24"/>
        </w:rPr>
        <w:t>1. Imagine that you live in a city that currently does not require bicycle riders to wear helmets. Furthermore, imagine that you enjoy riding your bicycle without wearing a helmet.</w:t>
      </w:r>
    </w:p>
    <w:p w:rsidR="00C00BB1" w:rsidRDefault="00C00BB1" w:rsidP="00C00BB1">
      <w:pPr>
        <w:numPr>
          <w:ilvl w:val="0"/>
          <w:numId w:val="1"/>
        </w:numPr>
        <w:rPr>
          <w:b/>
          <w:sz w:val="24"/>
          <w:szCs w:val="24"/>
        </w:rPr>
      </w:pPr>
      <w:r>
        <w:rPr>
          <w:b/>
          <w:sz w:val="24"/>
          <w:szCs w:val="24"/>
        </w:rPr>
        <w:t>From your perspective, what are the major costs and benefits of a proposed city ordinance that would require all bicycle riders to wear helmets?</w:t>
      </w:r>
    </w:p>
    <w:p w:rsidR="00C00BB1" w:rsidRDefault="00C00BB1" w:rsidP="00C00BB1">
      <w:pPr>
        <w:numPr>
          <w:ilvl w:val="0"/>
          <w:numId w:val="1"/>
        </w:numPr>
        <w:rPr>
          <w:b/>
          <w:sz w:val="24"/>
          <w:szCs w:val="24"/>
        </w:rPr>
      </w:pPr>
      <w:r>
        <w:rPr>
          <w:b/>
          <w:sz w:val="24"/>
          <w:szCs w:val="24"/>
        </w:rPr>
        <w:t>What are the categories of costs and benefits from society’s perspective?</w:t>
      </w:r>
    </w:p>
    <w:p w:rsidR="00C00BB1" w:rsidRDefault="00C00BB1" w:rsidP="00C00BB1">
      <w:pPr>
        <w:rPr>
          <w:b/>
          <w:sz w:val="24"/>
          <w:szCs w:val="24"/>
        </w:rPr>
      </w:pPr>
    </w:p>
    <w:p w:rsidR="00C00BB1" w:rsidRDefault="00C00BB1" w:rsidP="00C00BB1">
      <w:pPr>
        <w:rPr>
          <w:sz w:val="24"/>
          <w:szCs w:val="24"/>
        </w:rPr>
      </w:pPr>
      <w:r>
        <w:rPr>
          <w:sz w:val="24"/>
          <w:szCs w:val="24"/>
        </w:rPr>
        <w:tab/>
      </w:r>
      <w:r>
        <w:rPr>
          <w:b/>
          <w:bCs/>
          <w:sz w:val="24"/>
          <w:szCs w:val="24"/>
        </w:rPr>
        <w:t>1.a.</w:t>
      </w:r>
      <w:r>
        <w:rPr>
          <w:sz w:val="24"/>
          <w:szCs w:val="24"/>
        </w:rPr>
        <w:t xml:space="preserve"> The most significant categories of costs to you as an individual are probably:  the purchase price of a helmet, the reduced pleasure of riding your bicycle while wearing a helmet, diminished appearance when you take the helmet off (bad hair), and the inconvenience of keeping the helmet available. The most significant categories of benefits are probably:  reduced risk of serious head injury (morbidity) and reduced risk of death (mortality).</w:t>
      </w:r>
    </w:p>
    <w:p w:rsidR="00C00BB1" w:rsidRDefault="00C00BB1" w:rsidP="00C00BB1">
      <w:pPr>
        <w:rPr>
          <w:sz w:val="24"/>
          <w:szCs w:val="24"/>
        </w:rPr>
      </w:pPr>
      <w:r>
        <w:rPr>
          <w:sz w:val="24"/>
          <w:szCs w:val="24"/>
        </w:rPr>
        <w:tab/>
      </w:r>
      <w:r>
        <w:rPr>
          <w:sz w:val="24"/>
          <w:szCs w:val="24"/>
        </w:rPr>
        <w:tab/>
      </w:r>
    </w:p>
    <w:p w:rsidR="00C00BB1" w:rsidRDefault="00C00BB1" w:rsidP="00C00BB1">
      <w:pPr>
        <w:rPr>
          <w:sz w:val="24"/>
          <w:szCs w:val="24"/>
        </w:rPr>
      </w:pPr>
      <w:r>
        <w:rPr>
          <w:sz w:val="24"/>
          <w:szCs w:val="24"/>
        </w:rPr>
        <w:tab/>
      </w:r>
      <w:r>
        <w:rPr>
          <w:b/>
          <w:bCs/>
          <w:sz w:val="24"/>
          <w:szCs w:val="24"/>
        </w:rPr>
        <w:t>1.b.</w:t>
      </w:r>
      <w:r>
        <w:rPr>
          <w:sz w:val="24"/>
          <w:szCs w:val="24"/>
        </w:rPr>
        <w:t xml:space="preserve"> There are a number of categories of costs and benefits that do not affect you (directly or are insignificant), but which are important in aggregate. These are:</w:t>
      </w:r>
    </w:p>
    <w:p w:rsidR="00C00BB1" w:rsidRDefault="00C00BB1" w:rsidP="00C00BB1">
      <w:pPr>
        <w:numPr>
          <w:ilvl w:val="0"/>
          <w:numId w:val="2"/>
        </w:numPr>
        <w:rPr>
          <w:sz w:val="24"/>
          <w:szCs w:val="24"/>
        </w:rPr>
      </w:pPr>
      <w:r>
        <w:rPr>
          <w:sz w:val="24"/>
          <w:szCs w:val="24"/>
        </w:rPr>
        <w:t>program enforcement (a cost)</w:t>
      </w:r>
    </w:p>
    <w:p w:rsidR="00C00BB1" w:rsidRDefault="00C00BB1" w:rsidP="00C00BB1">
      <w:pPr>
        <w:numPr>
          <w:ilvl w:val="0"/>
          <w:numId w:val="2"/>
        </w:numPr>
        <w:rPr>
          <w:sz w:val="24"/>
          <w:szCs w:val="24"/>
        </w:rPr>
      </w:pPr>
      <w:r>
        <w:rPr>
          <w:sz w:val="24"/>
          <w:szCs w:val="24"/>
        </w:rPr>
        <w:t>reduced health care costs (a benefit), (although this may not be as high as one might expect if bicyclists ride more aggressively because they feel safer; this is called off-setting behaviour)</w:t>
      </w:r>
    </w:p>
    <w:p w:rsidR="00C00BB1" w:rsidRDefault="00C00BB1" w:rsidP="00C00BB1">
      <w:pPr>
        <w:numPr>
          <w:ilvl w:val="0"/>
          <w:numId w:val="2"/>
        </w:numPr>
        <w:rPr>
          <w:sz w:val="24"/>
          <w:szCs w:val="24"/>
        </w:rPr>
      </w:pPr>
      <w:r>
        <w:rPr>
          <w:sz w:val="24"/>
          <w:szCs w:val="24"/>
        </w:rPr>
        <w:t>increased pollution, due to cyclists switching to cars</w:t>
      </w:r>
      <w:r>
        <w:rPr>
          <w:i/>
          <w:iCs/>
          <w:sz w:val="24"/>
          <w:szCs w:val="24"/>
        </w:rPr>
        <w:t xml:space="preserve"> </w:t>
      </w:r>
      <w:r>
        <w:rPr>
          <w:sz w:val="24"/>
          <w:szCs w:val="24"/>
        </w:rPr>
        <w:t>(a cost)</w:t>
      </w:r>
    </w:p>
    <w:p w:rsidR="00C00BB1" w:rsidRDefault="00C00BB1" w:rsidP="00C00BB1">
      <w:pPr>
        <w:ind w:left="360"/>
        <w:rPr>
          <w:sz w:val="24"/>
          <w:szCs w:val="24"/>
        </w:rPr>
      </w:pPr>
    </w:p>
    <w:p w:rsidR="00C00BB1" w:rsidRDefault="00C00BB1" w:rsidP="00C00BB1">
      <w:pPr>
        <w:ind w:firstLine="720"/>
        <w:rPr>
          <w:sz w:val="24"/>
          <w:szCs w:val="24"/>
        </w:rPr>
      </w:pPr>
      <w:r>
        <w:rPr>
          <w:sz w:val="24"/>
          <w:szCs w:val="24"/>
        </w:rPr>
        <w:t>A social cost-benefit analysis would take account of these costs and benefits in addition to your costs.</w:t>
      </w:r>
    </w:p>
    <w:p w:rsidR="00C00BB1" w:rsidRDefault="00C00BB1" w:rsidP="00C00BB1">
      <w:pPr>
        <w:ind w:firstLine="720"/>
        <w:rPr>
          <w:sz w:val="24"/>
          <w:szCs w:val="24"/>
        </w:rPr>
      </w:pPr>
    </w:p>
    <w:p w:rsidR="00C00BB1" w:rsidRDefault="00C00BB1" w:rsidP="00C00BB1">
      <w:pPr>
        <w:rPr>
          <w:b/>
          <w:sz w:val="24"/>
          <w:szCs w:val="24"/>
        </w:rPr>
      </w:pPr>
      <w:r>
        <w:rPr>
          <w:b/>
          <w:sz w:val="24"/>
          <w:szCs w:val="24"/>
        </w:rPr>
        <w:t>2. The effects of a tariff on imported kumquats can be divided into the following categories: tariff revenues received by the treasury ($8 million); increased use of resources to produce more kumquats domestically ($6 million); the value of reduced consumption by domestic consumers ($13 million); and increased profits received by domestic kumquat growers ($5 million). A CBA from the national perspective would find costs of the tariff equal to $19 million-the sum of the costs of increased domestic production and forgone domestic consumption ($6 million + $13 million). The increased profits received by domestic kumquat growers and the tariff revenues received by the treasury simply reflect higher prices paid by domestic consumers on the kumquats that they continue to consume and, hence, count as neither benefits nor costs. Thus, the net benefits of the tariff are negative (-$19 million). Consequently, the CBA would recommend against adoption of the tariff.</w:t>
      </w:r>
    </w:p>
    <w:p w:rsidR="00C00BB1" w:rsidRDefault="00C00BB1" w:rsidP="00C00BB1">
      <w:pPr>
        <w:numPr>
          <w:ilvl w:val="0"/>
          <w:numId w:val="3"/>
        </w:numPr>
        <w:rPr>
          <w:b/>
          <w:sz w:val="24"/>
          <w:szCs w:val="24"/>
        </w:rPr>
      </w:pPr>
      <w:r>
        <w:rPr>
          <w:b/>
          <w:sz w:val="24"/>
          <w:szCs w:val="24"/>
        </w:rPr>
        <w:t>Assuming the agriculture department views kumquat growers as its primary constituency, how would it calculate net benefits if it behaves as if it is a spender?</w:t>
      </w:r>
    </w:p>
    <w:p w:rsidR="00C00BB1" w:rsidRDefault="00C00BB1" w:rsidP="00C00BB1">
      <w:pPr>
        <w:numPr>
          <w:ilvl w:val="0"/>
          <w:numId w:val="3"/>
        </w:numPr>
        <w:rPr>
          <w:b/>
          <w:sz w:val="24"/>
          <w:szCs w:val="24"/>
        </w:rPr>
      </w:pPr>
      <w:r>
        <w:rPr>
          <w:b/>
          <w:sz w:val="24"/>
          <w:szCs w:val="24"/>
        </w:rPr>
        <w:t>Assuming the treasury department behaves as if it is a guardian, how would it calculate net benefits if it believes that domestic growers pay profit taxes at an average rate of 20 percent?</w:t>
      </w:r>
    </w:p>
    <w:p w:rsidR="00C00BB1" w:rsidRDefault="00C00BB1" w:rsidP="00C00BB1">
      <w:pPr>
        <w:rPr>
          <w:sz w:val="24"/>
          <w:szCs w:val="24"/>
        </w:rPr>
      </w:pPr>
    </w:p>
    <w:p w:rsidR="00C00BB1" w:rsidRDefault="00C00BB1" w:rsidP="00C00BB1">
      <w:pPr>
        <w:rPr>
          <w:sz w:val="24"/>
          <w:szCs w:val="24"/>
        </w:rPr>
      </w:pPr>
      <w:r>
        <w:rPr>
          <w:sz w:val="24"/>
          <w:szCs w:val="24"/>
        </w:rPr>
        <w:tab/>
      </w:r>
      <w:r>
        <w:rPr>
          <w:b/>
          <w:bCs/>
          <w:sz w:val="24"/>
          <w:szCs w:val="24"/>
        </w:rPr>
        <w:t>2.a.</w:t>
      </w:r>
      <w:r>
        <w:rPr>
          <w:sz w:val="24"/>
          <w:szCs w:val="24"/>
        </w:rPr>
        <w:t xml:space="preserve"> If the agriculture department behaved as if it were a "spender," then the benefits would probably be:</w:t>
      </w:r>
    </w:p>
    <w:p w:rsidR="00C00BB1" w:rsidRDefault="00C00BB1" w:rsidP="00C00BB1">
      <w:pPr>
        <w:numPr>
          <w:ilvl w:val="0"/>
          <w:numId w:val="4"/>
        </w:numPr>
        <w:rPr>
          <w:sz w:val="24"/>
          <w:szCs w:val="24"/>
        </w:rPr>
      </w:pPr>
      <w:r>
        <w:rPr>
          <w:sz w:val="24"/>
          <w:szCs w:val="24"/>
        </w:rPr>
        <w:lastRenderedPageBreak/>
        <w:t>$5 million domestic grower profits (“constituents”)</w:t>
      </w:r>
    </w:p>
    <w:p w:rsidR="00C00BB1" w:rsidRDefault="00C00BB1" w:rsidP="00C00BB1">
      <w:pPr>
        <w:numPr>
          <w:ilvl w:val="0"/>
          <w:numId w:val="4"/>
        </w:numPr>
        <w:rPr>
          <w:sz w:val="24"/>
          <w:szCs w:val="24"/>
        </w:rPr>
      </w:pPr>
      <w:r>
        <w:rPr>
          <w:sz w:val="24"/>
          <w:szCs w:val="24"/>
        </w:rPr>
        <w:t>$8 million tariff revenue (income from foreigners)</w:t>
      </w:r>
    </w:p>
    <w:p w:rsidR="00C00BB1" w:rsidRDefault="00C00BB1" w:rsidP="00C00BB1">
      <w:pPr>
        <w:rPr>
          <w:sz w:val="24"/>
          <w:szCs w:val="24"/>
        </w:rPr>
      </w:pPr>
      <w:r>
        <w:rPr>
          <w:sz w:val="24"/>
          <w:szCs w:val="24"/>
        </w:rPr>
        <w:t>Total benefits: $13 million</w:t>
      </w:r>
    </w:p>
    <w:p w:rsidR="00C00BB1" w:rsidRDefault="00C00BB1" w:rsidP="00C00BB1">
      <w:pPr>
        <w:rPr>
          <w:sz w:val="24"/>
          <w:szCs w:val="24"/>
        </w:rPr>
      </w:pPr>
      <w:r>
        <w:rPr>
          <w:sz w:val="24"/>
          <w:szCs w:val="24"/>
        </w:rPr>
        <w:t>Costs would be $13 million (reduced consumption)</w:t>
      </w:r>
    </w:p>
    <w:p w:rsidR="00C00BB1" w:rsidRDefault="00C00BB1" w:rsidP="00C00BB1">
      <w:pPr>
        <w:rPr>
          <w:sz w:val="24"/>
          <w:szCs w:val="24"/>
        </w:rPr>
      </w:pPr>
      <w:r>
        <w:rPr>
          <w:sz w:val="24"/>
          <w:szCs w:val="24"/>
        </w:rPr>
        <w:t>Net benefits: $0 million.</w:t>
      </w:r>
    </w:p>
    <w:p w:rsidR="00C00BB1" w:rsidRDefault="00C00BB1" w:rsidP="00C00BB1">
      <w:pPr>
        <w:rPr>
          <w:sz w:val="24"/>
          <w:szCs w:val="24"/>
        </w:rPr>
      </w:pPr>
    </w:p>
    <w:p w:rsidR="00C00BB1" w:rsidRDefault="00C00BB1" w:rsidP="00C00BB1">
      <w:pPr>
        <w:ind w:firstLine="720"/>
        <w:rPr>
          <w:sz w:val="24"/>
          <w:szCs w:val="24"/>
        </w:rPr>
      </w:pPr>
      <w:r>
        <w:rPr>
          <w:sz w:val="24"/>
          <w:szCs w:val="24"/>
        </w:rPr>
        <w:t xml:space="preserve">A spender might treat the additional resources devoted to domestic kumquat production ($6 million) as a cost (if the resources go to non-constituents) or as a benefit (if the recipients are their constituents, such as labour). Either would be okay. However, the description of the question implies that the growers are the primary constituents, thus we would lean towards the view that a spender would </w:t>
      </w:r>
      <w:r>
        <w:rPr>
          <w:sz w:val="24"/>
          <w:szCs w:val="24"/>
          <w:u w:val="single"/>
        </w:rPr>
        <w:t>not</w:t>
      </w:r>
      <w:r>
        <w:rPr>
          <w:sz w:val="24"/>
          <w:szCs w:val="24"/>
        </w:rPr>
        <w:t xml:space="preserve"> treat the $6 million as a benefit. </w:t>
      </w:r>
    </w:p>
    <w:p w:rsidR="00C00BB1" w:rsidRDefault="00C00BB1" w:rsidP="00C00BB1">
      <w:pPr>
        <w:ind w:firstLine="720"/>
        <w:rPr>
          <w:sz w:val="24"/>
          <w:szCs w:val="24"/>
        </w:rPr>
      </w:pPr>
    </w:p>
    <w:p w:rsidR="00C00BB1" w:rsidRDefault="00C00BB1" w:rsidP="00C00BB1">
      <w:pPr>
        <w:ind w:firstLine="720"/>
        <w:rPr>
          <w:sz w:val="24"/>
          <w:szCs w:val="24"/>
        </w:rPr>
      </w:pPr>
      <w:r>
        <w:rPr>
          <w:sz w:val="24"/>
          <w:szCs w:val="24"/>
        </w:rPr>
        <w:t>If the agriculture department behaved as if it were a "spender," then it might consider the increased prices paid by domestic consumers as a cost. However, again we would argue that the growers are the primary constituency and, therefore, a spender would probably ignore the increased prices paid by domestic consumers. For this reason, a “spender” might also ignore the $13 million loss in consumption benefits.</w:t>
      </w:r>
    </w:p>
    <w:p w:rsidR="00C00BB1" w:rsidRDefault="00C00BB1" w:rsidP="00C00BB1">
      <w:pPr>
        <w:rPr>
          <w:sz w:val="24"/>
          <w:szCs w:val="24"/>
        </w:rPr>
      </w:pPr>
    </w:p>
    <w:p w:rsidR="00C00BB1" w:rsidRDefault="00C00BB1" w:rsidP="00C00BB1">
      <w:pPr>
        <w:rPr>
          <w:sz w:val="24"/>
          <w:szCs w:val="24"/>
        </w:rPr>
      </w:pPr>
      <w:r>
        <w:rPr>
          <w:sz w:val="24"/>
          <w:szCs w:val="24"/>
        </w:rPr>
        <w:tab/>
      </w:r>
      <w:r>
        <w:rPr>
          <w:b/>
          <w:bCs/>
          <w:sz w:val="24"/>
          <w:szCs w:val="24"/>
        </w:rPr>
        <w:t xml:space="preserve">2.b. </w:t>
      </w:r>
      <w:r>
        <w:rPr>
          <w:sz w:val="24"/>
          <w:szCs w:val="24"/>
        </w:rPr>
        <w:t>If the treasury department behaved as if it were a "guardian," then it would count only the costs and benefits accruing to the government. If so, benefits would equal $9 million ($8 million in tariff revenue and $1 million = 20% x $5 million in profits tax) and costs would be zero, so that net benefits would equal $9 million.</w:t>
      </w:r>
    </w:p>
    <w:p w:rsidR="00C00BB1" w:rsidRDefault="00C00BB1" w:rsidP="00C00BB1">
      <w:pPr>
        <w:jc w:val="center"/>
        <w:rPr>
          <w:b/>
          <w:bCs/>
          <w:sz w:val="24"/>
          <w:szCs w:val="24"/>
        </w:rPr>
      </w:pPr>
    </w:p>
    <w:p w:rsidR="00C00BB1" w:rsidRDefault="00C00BB1" w:rsidP="00C00BB1">
      <w:pPr>
        <w:rPr>
          <w:b/>
          <w:sz w:val="24"/>
          <w:szCs w:val="24"/>
        </w:rPr>
      </w:pPr>
      <w:r>
        <w:rPr>
          <w:b/>
          <w:sz w:val="24"/>
          <w:szCs w:val="24"/>
        </w:rPr>
        <w:fldChar w:fldCharType="begin"/>
      </w:r>
      <w:r>
        <w:rPr>
          <w:b/>
          <w:sz w:val="24"/>
          <w:szCs w:val="24"/>
        </w:rPr>
        <w:instrText xml:space="preserve"> SEQ CHAPTER \h \r 1</w:instrText>
      </w:r>
      <w:r>
        <w:rPr>
          <w:b/>
          <w:sz w:val="24"/>
          <w:szCs w:val="24"/>
        </w:rPr>
        <w:fldChar w:fldCharType="end"/>
      </w:r>
      <w:r>
        <w:rPr>
          <w:b/>
          <w:sz w:val="24"/>
          <w:szCs w:val="24"/>
        </w:rPr>
        <w:t>3. (Spreadsheet recommended) Your municipality is considering building a public swimming pool. Analysts have estimated the present values of the following effects over the expected useful life of the pool:</w:t>
      </w:r>
    </w:p>
    <w:p w:rsidR="00C00BB1" w:rsidRDefault="00C00BB1" w:rsidP="00C00BB1">
      <w:pPr>
        <w:rPr>
          <w:b/>
          <w:sz w:val="24"/>
          <w:szCs w:val="24"/>
        </w:rPr>
      </w:pPr>
    </w:p>
    <w:p w:rsidR="00C00BB1" w:rsidRDefault="00C00BB1" w:rsidP="00C00BB1">
      <w:pPr>
        <w:tabs>
          <w:tab w:val="left" w:pos="720"/>
          <w:tab w:val="left" w:pos="1440"/>
          <w:tab w:val="left" w:pos="2160"/>
          <w:tab w:val="left" w:pos="2880"/>
          <w:tab w:val="left" w:pos="3600"/>
          <w:tab w:val="left" w:pos="4320"/>
        </w:tabs>
        <w:ind w:left="4320" w:hanging="4320"/>
        <w:rPr>
          <w:b/>
          <w:bCs/>
          <w:sz w:val="24"/>
          <w:szCs w:val="24"/>
        </w:rPr>
      </w:pPr>
      <w:r>
        <w:rPr>
          <w:b/>
          <w:sz w:val="24"/>
          <w:szCs w:val="24"/>
        </w:rPr>
        <w:tab/>
      </w:r>
      <w:r>
        <w:rPr>
          <w:b/>
          <w:sz w:val="24"/>
          <w:szCs w:val="24"/>
        </w:rPr>
        <w:tab/>
      </w:r>
      <w:r>
        <w:rPr>
          <w:b/>
          <w:bCs/>
          <w:sz w:val="24"/>
          <w:szCs w:val="24"/>
        </w:rPr>
        <w:tab/>
      </w:r>
      <w:r>
        <w:rPr>
          <w:b/>
          <w:bCs/>
          <w:sz w:val="24"/>
          <w:szCs w:val="24"/>
        </w:rPr>
        <w:tab/>
      </w:r>
      <w:r>
        <w:rPr>
          <w:b/>
          <w:bCs/>
          <w:sz w:val="24"/>
          <w:szCs w:val="24"/>
        </w:rPr>
        <w:tab/>
        <w:t xml:space="preserve">    </w:t>
      </w:r>
      <w:r>
        <w:rPr>
          <w:b/>
          <w:bCs/>
          <w:sz w:val="24"/>
          <w:szCs w:val="24"/>
        </w:rPr>
        <w:tab/>
        <w:t xml:space="preserve">     </w:t>
      </w:r>
      <w:r>
        <w:rPr>
          <w:b/>
          <w:bCs/>
          <w:sz w:val="24"/>
          <w:szCs w:val="24"/>
        </w:rPr>
        <w:tab/>
      </w:r>
      <w:r>
        <w:rPr>
          <w:b/>
          <w:bCs/>
          <w:sz w:val="24"/>
          <w:szCs w:val="24"/>
        </w:rPr>
        <w:tab/>
        <w:t>PV</w:t>
      </w:r>
    </w:p>
    <w:p w:rsidR="00C00BB1" w:rsidRDefault="00C00BB1" w:rsidP="00C00BB1">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(million dollars)</w:t>
      </w:r>
      <w:r>
        <w:rPr>
          <w:b/>
          <w:bCs/>
          <w:sz w:val="24"/>
          <w:szCs w:val="24"/>
        </w:rPr>
        <w:tab/>
      </w:r>
      <w:r>
        <w:rPr>
          <w:b/>
          <w:bCs/>
          <w:sz w:val="24"/>
          <w:szCs w:val="24"/>
        </w:rPr>
        <w:tab/>
      </w:r>
    </w:p>
    <w:p w:rsidR="00C00BB1" w:rsidRDefault="00C00BB1" w:rsidP="00C00BB1">
      <w:pPr>
        <w:tabs>
          <w:tab w:val="left" w:pos="720"/>
          <w:tab w:val="left" w:pos="1440"/>
          <w:tab w:val="left" w:pos="2160"/>
          <w:tab w:val="left" w:pos="2880"/>
          <w:tab w:val="left" w:pos="3600"/>
          <w:tab w:val="left" w:pos="4320"/>
          <w:tab w:val="left" w:pos="5040"/>
          <w:tab w:val="left" w:pos="5760"/>
        </w:tabs>
        <w:ind w:left="5760" w:hanging="5760"/>
        <w:rPr>
          <w:b/>
          <w:sz w:val="24"/>
          <w:szCs w:val="24"/>
        </w:rPr>
      </w:pPr>
      <w:r>
        <w:rPr>
          <w:b/>
          <w:sz w:val="24"/>
          <w:szCs w:val="24"/>
        </w:rPr>
        <w:tab/>
        <w:t>National Government grant:</w:t>
      </w:r>
      <w:r>
        <w:rPr>
          <w:b/>
          <w:sz w:val="24"/>
          <w:szCs w:val="24"/>
        </w:rPr>
        <w:tab/>
      </w:r>
      <w:r>
        <w:rPr>
          <w:b/>
          <w:sz w:val="24"/>
          <w:szCs w:val="24"/>
        </w:rPr>
        <w:tab/>
      </w:r>
      <w:r>
        <w:rPr>
          <w:b/>
          <w:sz w:val="24"/>
          <w:szCs w:val="24"/>
        </w:rPr>
        <w:tab/>
        <w:t xml:space="preserve">     2.2</w:t>
      </w:r>
      <w:r>
        <w:rPr>
          <w:b/>
          <w:sz w:val="24"/>
          <w:szCs w:val="24"/>
        </w:rPr>
        <w:tab/>
      </w:r>
    </w:p>
    <w:p w:rsidR="00C00BB1" w:rsidRDefault="00C00BB1" w:rsidP="00C00BB1">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b/>
          <w:sz w:val="24"/>
          <w:szCs w:val="24"/>
        </w:rPr>
      </w:pPr>
      <w:r>
        <w:rPr>
          <w:b/>
          <w:sz w:val="24"/>
          <w:szCs w:val="24"/>
        </w:rPr>
        <w:tab/>
        <w:t>Construction and maintenance costs:</w:t>
      </w:r>
      <w:r>
        <w:rPr>
          <w:b/>
          <w:sz w:val="24"/>
          <w:szCs w:val="24"/>
        </w:rPr>
        <w:tab/>
      </w:r>
      <w:r>
        <w:rPr>
          <w:b/>
          <w:sz w:val="24"/>
          <w:szCs w:val="24"/>
        </w:rPr>
        <w:tab/>
        <w:t xml:space="preserve">   12.5</w:t>
      </w:r>
      <w:r>
        <w:rPr>
          <w:b/>
          <w:sz w:val="24"/>
          <w:szCs w:val="24"/>
        </w:rPr>
        <w:tab/>
      </w:r>
      <w:r>
        <w:rPr>
          <w:b/>
          <w:sz w:val="24"/>
          <w:szCs w:val="24"/>
        </w:rPr>
        <w:tab/>
      </w:r>
      <w:r>
        <w:rPr>
          <w:b/>
          <w:sz w:val="24"/>
          <w:szCs w:val="24"/>
        </w:rPr>
        <w:tab/>
      </w:r>
    </w:p>
    <w:p w:rsidR="00C00BB1" w:rsidRDefault="00C00BB1" w:rsidP="00C00BB1">
      <w:pPr>
        <w:tabs>
          <w:tab w:val="left" w:pos="720"/>
          <w:tab w:val="left" w:pos="1440"/>
          <w:tab w:val="left" w:pos="2160"/>
          <w:tab w:val="left" w:pos="2880"/>
          <w:tab w:val="left" w:pos="3600"/>
          <w:tab w:val="left" w:pos="4320"/>
          <w:tab w:val="left" w:pos="5040"/>
          <w:tab w:val="left" w:pos="5760"/>
        </w:tabs>
        <w:ind w:left="5760" w:hanging="5760"/>
        <w:rPr>
          <w:b/>
          <w:sz w:val="24"/>
          <w:szCs w:val="24"/>
        </w:rPr>
      </w:pPr>
      <w:r>
        <w:rPr>
          <w:b/>
          <w:sz w:val="24"/>
          <w:szCs w:val="24"/>
        </w:rPr>
        <w:tab/>
        <w:t>Personnel costs:</w:t>
      </w:r>
      <w:r>
        <w:rPr>
          <w:b/>
          <w:sz w:val="24"/>
          <w:szCs w:val="24"/>
        </w:rPr>
        <w:tab/>
      </w:r>
      <w:r>
        <w:rPr>
          <w:b/>
          <w:sz w:val="24"/>
          <w:szCs w:val="24"/>
        </w:rPr>
        <w:tab/>
      </w:r>
      <w:r>
        <w:rPr>
          <w:b/>
          <w:sz w:val="24"/>
          <w:szCs w:val="24"/>
        </w:rPr>
        <w:tab/>
      </w:r>
      <w:r>
        <w:rPr>
          <w:b/>
          <w:sz w:val="24"/>
          <w:szCs w:val="24"/>
        </w:rPr>
        <w:tab/>
      </w:r>
      <w:r>
        <w:rPr>
          <w:b/>
          <w:sz w:val="24"/>
          <w:szCs w:val="24"/>
        </w:rPr>
        <w:tab/>
        <w:t xml:space="preserve">     8.2</w:t>
      </w:r>
      <w:r>
        <w:rPr>
          <w:b/>
          <w:sz w:val="24"/>
          <w:szCs w:val="24"/>
        </w:rPr>
        <w:tab/>
      </w:r>
      <w:r>
        <w:rPr>
          <w:b/>
          <w:sz w:val="24"/>
          <w:szCs w:val="24"/>
        </w:rPr>
        <w:tab/>
      </w:r>
    </w:p>
    <w:p w:rsidR="00C00BB1" w:rsidRDefault="00C00BB1" w:rsidP="00C00BB1">
      <w:pPr>
        <w:rPr>
          <w:b/>
          <w:sz w:val="24"/>
          <w:szCs w:val="24"/>
        </w:rPr>
      </w:pPr>
      <w:r>
        <w:rPr>
          <w:b/>
          <w:sz w:val="24"/>
          <w:szCs w:val="24"/>
        </w:rPr>
        <w:tab/>
        <w:t>Revenue from municipal residents:</w:t>
      </w:r>
      <w:r>
        <w:rPr>
          <w:b/>
          <w:sz w:val="24"/>
          <w:szCs w:val="24"/>
        </w:rPr>
        <w:tab/>
      </w:r>
      <w:r>
        <w:rPr>
          <w:b/>
          <w:sz w:val="24"/>
          <w:szCs w:val="24"/>
        </w:rPr>
        <w:tab/>
      </w:r>
      <w:r>
        <w:rPr>
          <w:b/>
          <w:sz w:val="24"/>
          <w:szCs w:val="24"/>
        </w:rPr>
        <w:tab/>
        <w:t xml:space="preserve">     8.6</w:t>
      </w:r>
      <w:r>
        <w:rPr>
          <w:b/>
          <w:sz w:val="24"/>
          <w:szCs w:val="24"/>
        </w:rPr>
        <w:tab/>
      </w:r>
      <w:r>
        <w:rPr>
          <w:b/>
          <w:sz w:val="24"/>
          <w:szCs w:val="24"/>
        </w:rPr>
        <w:tab/>
      </w:r>
      <w:r>
        <w:rPr>
          <w:b/>
          <w:sz w:val="24"/>
          <w:szCs w:val="24"/>
        </w:rPr>
        <w:tab/>
      </w:r>
    </w:p>
    <w:p w:rsidR="00C00BB1" w:rsidRDefault="00C00BB1" w:rsidP="00C00BB1">
      <w:pPr>
        <w:tabs>
          <w:tab w:val="left" w:pos="720"/>
          <w:tab w:val="left" w:pos="1440"/>
          <w:tab w:val="left" w:pos="2160"/>
          <w:tab w:val="left" w:pos="2880"/>
          <w:tab w:val="left" w:pos="3600"/>
          <w:tab w:val="left" w:pos="4320"/>
          <w:tab w:val="left" w:pos="5040"/>
          <w:tab w:val="left" w:pos="5760"/>
          <w:tab w:val="left" w:pos="6480"/>
        </w:tabs>
        <w:ind w:left="6480" w:hanging="6480"/>
        <w:rPr>
          <w:b/>
          <w:sz w:val="24"/>
          <w:szCs w:val="24"/>
        </w:rPr>
      </w:pPr>
      <w:r>
        <w:rPr>
          <w:b/>
          <w:sz w:val="24"/>
          <w:szCs w:val="24"/>
        </w:rPr>
        <w:tab/>
        <w:t>Revenue from non-residents:</w:t>
      </w:r>
      <w:r>
        <w:rPr>
          <w:b/>
          <w:sz w:val="24"/>
          <w:szCs w:val="24"/>
        </w:rPr>
        <w:tab/>
      </w:r>
      <w:r>
        <w:rPr>
          <w:b/>
          <w:sz w:val="24"/>
          <w:szCs w:val="24"/>
        </w:rPr>
        <w:tab/>
        <w:t xml:space="preserve">    </w:t>
      </w:r>
      <w:r>
        <w:rPr>
          <w:b/>
          <w:sz w:val="24"/>
          <w:szCs w:val="24"/>
        </w:rPr>
        <w:tab/>
        <w:t xml:space="preserve">     2.2</w:t>
      </w:r>
      <w:r>
        <w:rPr>
          <w:b/>
          <w:sz w:val="24"/>
          <w:szCs w:val="24"/>
        </w:rPr>
        <w:tab/>
      </w:r>
      <w:r>
        <w:rPr>
          <w:b/>
          <w:sz w:val="24"/>
          <w:szCs w:val="24"/>
        </w:rPr>
        <w:tab/>
      </w:r>
    </w:p>
    <w:p w:rsidR="00C00BB1" w:rsidRDefault="00C00BB1" w:rsidP="00C00BB1">
      <w:pPr>
        <w:rPr>
          <w:b/>
          <w:sz w:val="24"/>
          <w:szCs w:val="24"/>
        </w:rPr>
      </w:pPr>
      <w:r>
        <w:rPr>
          <w:b/>
          <w:sz w:val="24"/>
          <w:szCs w:val="24"/>
        </w:rPr>
        <w:tab/>
        <w:t>Use value benefit to municipal residents:</w:t>
      </w:r>
      <w:r>
        <w:rPr>
          <w:b/>
          <w:sz w:val="24"/>
          <w:szCs w:val="24"/>
        </w:rPr>
        <w:tab/>
      </w:r>
      <w:r>
        <w:rPr>
          <w:b/>
          <w:sz w:val="24"/>
          <w:szCs w:val="24"/>
        </w:rPr>
        <w:tab/>
        <w:t xml:space="preserve">   16.6</w:t>
      </w:r>
      <w:r>
        <w:rPr>
          <w:b/>
          <w:sz w:val="24"/>
          <w:szCs w:val="24"/>
        </w:rPr>
        <w:tab/>
      </w:r>
      <w:r>
        <w:rPr>
          <w:b/>
          <w:sz w:val="24"/>
          <w:szCs w:val="24"/>
        </w:rPr>
        <w:tab/>
      </w:r>
      <w:r>
        <w:rPr>
          <w:b/>
          <w:sz w:val="24"/>
          <w:szCs w:val="24"/>
        </w:rPr>
        <w:tab/>
      </w:r>
    </w:p>
    <w:p w:rsidR="00C00BB1" w:rsidRDefault="00C00BB1" w:rsidP="00C00BB1">
      <w:pPr>
        <w:tabs>
          <w:tab w:val="left" w:pos="720"/>
          <w:tab w:val="left" w:pos="1440"/>
          <w:tab w:val="left" w:pos="2160"/>
          <w:tab w:val="left" w:pos="2880"/>
          <w:tab w:val="left" w:pos="3600"/>
          <w:tab w:val="left" w:pos="4320"/>
          <w:tab w:val="left" w:pos="5040"/>
          <w:tab w:val="left" w:pos="5760"/>
          <w:tab w:val="left" w:pos="6480"/>
        </w:tabs>
        <w:ind w:left="6480" w:hanging="6480"/>
        <w:rPr>
          <w:b/>
          <w:sz w:val="24"/>
          <w:szCs w:val="24"/>
        </w:rPr>
      </w:pPr>
      <w:r>
        <w:rPr>
          <w:b/>
          <w:sz w:val="24"/>
          <w:szCs w:val="24"/>
        </w:rPr>
        <w:t xml:space="preserve">            Use value benefit to non-residents:</w:t>
      </w:r>
      <w:r>
        <w:rPr>
          <w:b/>
          <w:sz w:val="24"/>
          <w:szCs w:val="24"/>
        </w:rPr>
        <w:tab/>
        <w:t xml:space="preserve">    </w:t>
      </w:r>
      <w:r>
        <w:rPr>
          <w:b/>
          <w:sz w:val="24"/>
          <w:szCs w:val="24"/>
        </w:rPr>
        <w:tab/>
      </w:r>
      <w:r>
        <w:rPr>
          <w:b/>
          <w:sz w:val="24"/>
          <w:szCs w:val="24"/>
        </w:rPr>
        <w:tab/>
        <w:t xml:space="preserve">     3.1</w:t>
      </w:r>
      <w:r>
        <w:rPr>
          <w:b/>
          <w:sz w:val="24"/>
          <w:szCs w:val="24"/>
        </w:rPr>
        <w:tab/>
      </w:r>
      <w:r>
        <w:rPr>
          <w:b/>
          <w:sz w:val="24"/>
          <w:szCs w:val="24"/>
        </w:rPr>
        <w:tab/>
      </w:r>
    </w:p>
    <w:p w:rsidR="00C00BB1" w:rsidRDefault="00C00BB1" w:rsidP="00C00BB1">
      <w:pPr>
        <w:tabs>
          <w:tab w:val="left" w:pos="720"/>
          <w:tab w:val="left" w:pos="1440"/>
          <w:tab w:val="left" w:pos="2160"/>
          <w:tab w:val="left" w:pos="2880"/>
          <w:tab w:val="left" w:pos="3600"/>
          <w:tab w:val="left" w:pos="4320"/>
          <w:tab w:val="left" w:pos="5040"/>
        </w:tabs>
        <w:ind w:left="5040" w:hanging="5040"/>
        <w:rPr>
          <w:b/>
          <w:sz w:val="24"/>
          <w:szCs w:val="24"/>
        </w:rPr>
      </w:pPr>
      <w:r>
        <w:rPr>
          <w:b/>
          <w:sz w:val="24"/>
          <w:szCs w:val="24"/>
        </w:rPr>
        <w:tab/>
        <w:t>Scrap value:</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0.8</w:t>
      </w:r>
      <w:r>
        <w:rPr>
          <w:b/>
          <w:sz w:val="24"/>
          <w:szCs w:val="24"/>
        </w:rPr>
        <w:tab/>
      </w:r>
    </w:p>
    <w:p w:rsidR="00C00BB1" w:rsidRDefault="00C00BB1" w:rsidP="00C00BB1">
      <w:pPr>
        <w:rPr>
          <w:b/>
          <w:sz w:val="24"/>
          <w:szCs w:val="24"/>
        </w:rPr>
      </w:pPr>
    </w:p>
    <w:p w:rsidR="00C00BB1" w:rsidRDefault="00C00BB1" w:rsidP="00C00BB1">
      <w:pPr>
        <w:ind w:left="720"/>
        <w:rPr>
          <w:b/>
          <w:sz w:val="24"/>
          <w:szCs w:val="24"/>
        </w:rPr>
      </w:pPr>
      <w:r>
        <w:rPr>
          <w:b/>
          <w:sz w:val="24"/>
          <w:szCs w:val="24"/>
        </w:rPr>
        <w:t>The national government grant is only available for this purpose. Also, the construction and maintenance will have to be done by a non-municipal firm.</w:t>
      </w:r>
    </w:p>
    <w:p w:rsidR="00C00BB1" w:rsidRDefault="00C00BB1" w:rsidP="00C00BB1">
      <w:pPr>
        <w:ind w:left="720"/>
        <w:rPr>
          <w:b/>
          <w:sz w:val="24"/>
          <w:szCs w:val="24"/>
        </w:rPr>
      </w:pPr>
    </w:p>
    <w:p w:rsidR="00C00BB1" w:rsidRDefault="00C00BB1" w:rsidP="00C00BB1">
      <w:pPr>
        <w:numPr>
          <w:ilvl w:val="0"/>
          <w:numId w:val="5"/>
        </w:numPr>
        <w:rPr>
          <w:b/>
          <w:sz w:val="24"/>
          <w:szCs w:val="24"/>
        </w:rPr>
      </w:pPr>
      <w:r>
        <w:rPr>
          <w:b/>
          <w:sz w:val="24"/>
          <w:szCs w:val="24"/>
        </w:rPr>
        <w:t>Assuming national-level standing, what is the net social benefit of the project?</w:t>
      </w:r>
    </w:p>
    <w:p w:rsidR="00C00BB1" w:rsidRDefault="00C00BB1" w:rsidP="00C00BB1">
      <w:pPr>
        <w:numPr>
          <w:ilvl w:val="0"/>
          <w:numId w:val="5"/>
        </w:numPr>
        <w:rPr>
          <w:b/>
          <w:sz w:val="24"/>
          <w:szCs w:val="24"/>
        </w:rPr>
      </w:pPr>
      <w:r>
        <w:rPr>
          <w:b/>
          <w:sz w:val="24"/>
          <w:szCs w:val="24"/>
        </w:rPr>
        <w:t xml:space="preserve">Assuming municipal-level standing, what is the net social benefit of the project? </w:t>
      </w:r>
    </w:p>
    <w:p w:rsidR="00C00BB1" w:rsidRDefault="00C00BB1" w:rsidP="00C00BB1">
      <w:pPr>
        <w:numPr>
          <w:ilvl w:val="0"/>
          <w:numId w:val="5"/>
        </w:numPr>
        <w:rPr>
          <w:b/>
          <w:sz w:val="24"/>
          <w:szCs w:val="24"/>
        </w:rPr>
      </w:pPr>
      <w:r>
        <w:rPr>
          <w:b/>
          <w:sz w:val="24"/>
          <w:szCs w:val="24"/>
        </w:rPr>
        <w:t>How would a guardian in the municipal budget office calculate the net benefit?</w:t>
      </w:r>
    </w:p>
    <w:p w:rsidR="00C00BB1" w:rsidRDefault="00C00BB1" w:rsidP="00C00BB1">
      <w:pPr>
        <w:numPr>
          <w:ilvl w:val="0"/>
          <w:numId w:val="5"/>
        </w:numPr>
        <w:rPr>
          <w:b/>
          <w:sz w:val="24"/>
          <w:szCs w:val="24"/>
        </w:rPr>
      </w:pPr>
      <w:r>
        <w:rPr>
          <w:b/>
          <w:sz w:val="24"/>
          <w:szCs w:val="24"/>
        </w:rPr>
        <w:t>How would a spender in the municipal recreation department calculate the net benefit?</w:t>
      </w:r>
    </w:p>
    <w:p w:rsidR="00C00BB1" w:rsidRDefault="00C00BB1" w:rsidP="00C00BB1">
      <w:pPr>
        <w:ind w:left="720"/>
        <w:rPr>
          <w:b/>
          <w:sz w:val="24"/>
          <w:szCs w:val="24"/>
        </w:rPr>
      </w:pPr>
    </w:p>
    <w:p w:rsidR="00C00BB1" w:rsidRDefault="00C00BB1" w:rsidP="00C00BB1">
      <w:pPr>
        <w:ind w:firstLine="720"/>
        <w:rPr>
          <w:sz w:val="24"/>
          <w:szCs w:val="24"/>
        </w:rPr>
      </w:pPr>
      <w:r>
        <w:rPr>
          <w:b/>
          <w:sz w:val="24"/>
          <w:szCs w:val="24"/>
        </w:rPr>
        <w:t>3.a-d.</w:t>
      </w:r>
      <w:r>
        <w:rPr>
          <w:sz w:val="24"/>
          <w:szCs w:val="24"/>
        </w:rPr>
        <w:t xml:space="preserve">  The spreadsheet available from the instructor web page facilitates the following estimates of net benefits (millions of dollars):</w:t>
      </w:r>
    </w:p>
    <w:p w:rsidR="00C00BB1" w:rsidRDefault="00C00BB1" w:rsidP="00C00BB1">
      <w:pPr>
        <w:rPr>
          <w:sz w:val="24"/>
          <w:szCs w:val="24"/>
        </w:rPr>
      </w:pPr>
    </w:p>
    <w:tbl>
      <w:tblPr>
        <w:tblW w:w="6430" w:type="dxa"/>
        <w:jc w:val="center"/>
        <w:tblLook w:val="04A0" w:firstRow="1" w:lastRow="0" w:firstColumn="1" w:lastColumn="0" w:noHBand="0" w:noVBand="1"/>
      </w:tblPr>
      <w:tblGrid>
        <w:gridCol w:w="1780"/>
        <w:gridCol w:w="1630"/>
        <w:gridCol w:w="1560"/>
        <w:gridCol w:w="1460"/>
      </w:tblGrid>
      <w:tr w:rsidR="00C00BB1" w:rsidTr="00C00BB1">
        <w:trPr>
          <w:trHeight w:val="255"/>
          <w:jc w:val="center"/>
        </w:trPr>
        <w:tc>
          <w:tcPr>
            <w:tcW w:w="1780" w:type="dxa"/>
            <w:noWrap/>
            <w:vAlign w:val="bottom"/>
            <w:hideMark/>
          </w:tcPr>
          <w:p w:rsidR="00C00BB1" w:rsidRDefault="00C00BB1">
            <w:pPr>
              <w:widowControl/>
              <w:autoSpaceDE/>
              <w:adjustRightInd/>
              <w:jc w:val="center"/>
              <w:rPr>
                <w:bCs/>
                <w:lang w:val="en-US"/>
              </w:rPr>
            </w:pPr>
            <w:r>
              <w:rPr>
                <w:bCs/>
                <w:lang w:val="en-US"/>
              </w:rPr>
              <w:t>Social CBA</w:t>
            </w:r>
          </w:p>
        </w:tc>
        <w:tc>
          <w:tcPr>
            <w:tcW w:w="1630" w:type="dxa"/>
            <w:noWrap/>
            <w:vAlign w:val="bottom"/>
            <w:hideMark/>
          </w:tcPr>
          <w:p w:rsidR="00C00BB1" w:rsidRDefault="00C00BB1">
            <w:pPr>
              <w:widowControl/>
              <w:autoSpaceDE/>
              <w:adjustRightInd/>
              <w:jc w:val="center"/>
              <w:rPr>
                <w:bCs/>
                <w:lang w:val="en-US"/>
              </w:rPr>
            </w:pPr>
            <w:r>
              <w:rPr>
                <w:bCs/>
                <w:lang w:val="en-US"/>
              </w:rPr>
              <w:t>Social CBA</w:t>
            </w:r>
          </w:p>
        </w:tc>
        <w:tc>
          <w:tcPr>
            <w:tcW w:w="1560" w:type="dxa"/>
            <w:noWrap/>
            <w:vAlign w:val="bottom"/>
            <w:hideMark/>
          </w:tcPr>
          <w:p w:rsidR="00C00BB1" w:rsidRDefault="00C00BB1">
            <w:pPr>
              <w:widowControl/>
              <w:autoSpaceDE/>
              <w:adjustRightInd/>
              <w:jc w:val="center"/>
              <w:rPr>
                <w:bCs/>
                <w:lang w:val="en-US"/>
              </w:rPr>
            </w:pPr>
            <w:r>
              <w:rPr>
                <w:bCs/>
                <w:lang w:val="en-US"/>
              </w:rPr>
              <w:t xml:space="preserve">County </w:t>
            </w:r>
          </w:p>
        </w:tc>
        <w:tc>
          <w:tcPr>
            <w:tcW w:w="1460" w:type="dxa"/>
            <w:noWrap/>
            <w:vAlign w:val="bottom"/>
            <w:hideMark/>
          </w:tcPr>
          <w:p w:rsidR="00C00BB1" w:rsidRDefault="00C00BB1">
            <w:pPr>
              <w:widowControl/>
              <w:autoSpaceDE/>
              <w:adjustRightInd/>
              <w:jc w:val="center"/>
              <w:rPr>
                <w:bCs/>
                <w:lang w:val="en-US"/>
              </w:rPr>
            </w:pPr>
            <w:r>
              <w:rPr>
                <w:bCs/>
                <w:lang w:val="en-US"/>
              </w:rPr>
              <w:t>County</w:t>
            </w:r>
          </w:p>
        </w:tc>
      </w:tr>
      <w:tr w:rsidR="00C00BB1" w:rsidTr="00C00BB1">
        <w:trPr>
          <w:trHeight w:val="255"/>
          <w:jc w:val="center"/>
        </w:trPr>
        <w:tc>
          <w:tcPr>
            <w:tcW w:w="1780" w:type="dxa"/>
            <w:noWrap/>
            <w:vAlign w:val="bottom"/>
            <w:hideMark/>
          </w:tcPr>
          <w:p w:rsidR="00C00BB1" w:rsidRDefault="00C00BB1">
            <w:pPr>
              <w:widowControl/>
              <w:autoSpaceDE/>
              <w:adjustRightInd/>
              <w:jc w:val="center"/>
              <w:rPr>
                <w:bCs/>
                <w:lang w:val="en-US"/>
              </w:rPr>
            </w:pPr>
            <w:r>
              <w:rPr>
                <w:bCs/>
                <w:lang w:val="en-US"/>
              </w:rPr>
              <w:t>National Standing</w:t>
            </w:r>
          </w:p>
        </w:tc>
        <w:tc>
          <w:tcPr>
            <w:tcW w:w="1630" w:type="dxa"/>
            <w:noWrap/>
            <w:vAlign w:val="bottom"/>
            <w:hideMark/>
          </w:tcPr>
          <w:p w:rsidR="00C00BB1" w:rsidRDefault="00C00BB1">
            <w:pPr>
              <w:widowControl/>
              <w:autoSpaceDE/>
              <w:adjustRightInd/>
              <w:jc w:val="center"/>
              <w:rPr>
                <w:bCs/>
                <w:lang w:val="en-US"/>
              </w:rPr>
            </w:pPr>
            <w:r>
              <w:rPr>
                <w:bCs/>
                <w:lang w:val="en-US"/>
              </w:rPr>
              <w:t>County Standing</w:t>
            </w:r>
          </w:p>
        </w:tc>
        <w:tc>
          <w:tcPr>
            <w:tcW w:w="1560" w:type="dxa"/>
            <w:noWrap/>
            <w:vAlign w:val="bottom"/>
            <w:hideMark/>
          </w:tcPr>
          <w:p w:rsidR="00C00BB1" w:rsidRDefault="00C00BB1">
            <w:pPr>
              <w:widowControl/>
              <w:autoSpaceDE/>
              <w:adjustRightInd/>
              <w:jc w:val="center"/>
              <w:rPr>
                <w:bCs/>
                <w:lang w:val="en-US"/>
              </w:rPr>
            </w:pPr>
            <w:r>
              <w:rPr>
                <w:bCs/>
                <w:lang w:val="en-US"/>
              </w:rPr>
              <w:t>Guardians</w:t>
            </w:r>
          </w:p>
        </w:tc>
        <w:tc>
          <w:tcPr>
            <w:tcW w:w="1460" w:type="dxa"/>
            <w:noWrap/>
            <w:vAlign w:val="bottom"/>
            <w:hideMark/>
          </w:tcPr>
          <w:p w:rsidR="00C00BB1" w:rsidRDefault="00C00BB1">
            <w:pPr>
              <w:widowControl/>
              <w:autoSpaceDE/>
              <w:adjustRightInd/>
              <w:jc w:val="center"/>
              <w:rPr>
                <w:bCs/>
                <w:lang w:val="en-US"/>
              </w:rPr>
            </w:pPr>
            <w:r>
              <w:rPr>
                <w:bCs/>
                <w:lang w:val="en-US"/>
              </w:rPr>
              <w:t>Spenders</w:t>
            </w:r>
          </w:p>
        </w:tc>
      </w:tr>
      <w:tr w:rsidR="00C00BB1" w:rsidTr="00C00BB1">
        <w:trPr>
          <w:trHeight w:val="255"/>
          <w:jc w:val="center"/>
        </w:trPr>
        <w:tc>
          <w:tcPr>
            <w:tcW w:w="1780" w:type="dxa"/>
            <w:noWrap/>
            <w:vAlign w:val="bottom"/>
            <w:hideMark/>
          </w:tcPr>
          <w:p w:rsidR="00C00BB1" w:rsidRDefault="00C00BB1">
            <w:pPr>
              <w:widowControl/>
              <w:autoSpaceDE/>
              <w:adjustRightInd/>
              <w:jc w:val="center"/>
              <w:rPr>
                <w:rFonts w:ascii="Arial" w:hAnsi="Arial" w:cs="Arial"/>
                <w:bCs/>
                <w:lang w:val="en-US"/>
              </w:rPr>
            </w:pPr>
            <w:r>
              <w:rPr>
                <w:rFonts w:ascii="Arial" w:hAnsi="Arial" w:cs="Arial"/>
                <w:bCs/>
                <w:lang w:val="en-US"/>
              </w:rPr>
              <w:t>-0.2</w:t>
            </w:r>
          </w:p>
        </w:tc>
        <w:tc>
          <w:tcPr>
            <w:tcW w:w="1630" w:type="dxa"/>
            <w:noWrap/>
            <w:vAlign w:val="bottom"/>
            <w:hideMark/>
          </w:tcPr>
          <w:p w:rsidR="00C00BB1" w:rsidRDefault="00C00BB1">
            <w:pPr>
              <w:widowControl/>
              <w:autoSpaceDE/>
              <w:adjustRightInd/>
              <w:jc w:val="center"/>
              <w:rPr>
                <w:rFonts w:ascii="Arial" w:hAnsi="Arial" w:cs="Arial"/>
                <w:bCs/>
                <w:lang w:val="en-US"/>
              </w:rPr>
            </w:pPr>
            <w:r>
              <w:rPr>
                <w:rFonts w:ascii="Arial" w:hAnsi="Arial" w:cs="Arial"/>
                <w:bCs/>
                <w:lang w:val="en-US"/>
              </w:rPr>
              <w:t>1.1</w:t>
            </w:r>
          </w:p>
        </w:tc>
        <w:tc>
          <w:tcPr>
            <w:tcW w:w="1560" w:type="dxa"/>
            <w:noWrap/>
            <w:vAlign w:val="bottom"/>
            <w:hideMark/>
          </w:tcPr>
          <w:p w:rsidR="00C00BB1" w:rsidRDefault="00C00BB1">
            <w:pPr>
              <w:widowControl/>
              <w:autoSpaceDE/>
              <w:adjustRightInd/>
              <w:jc w:val="center"/>
              <w:rPr>
                <w:rFonts w:ascii="Arial" w:hAnsi="Arial" w:cs="Arial"/>
                <w:bCs/>
                <w:lang w:val="en-US"/>
              </w:rPr>
            </w:pPr>
            <w:r>
              <w:rPr>
                <w:rFonts w:ascii="Arial" w:hAnsi="Arial" w:cs="Arial"/>
                <w:bCs/>
                <w:lang w:val="en-US"/>
              </w:rPr>
              <w:t>-6.9</w:t>
            </w:r>
          </w:p>
        </w:tc>
        <w:tc>
          <w:tcPr>
            <w:tcW w:w="1460" w:type="dxa"/>
            <w:noWrap/>
            <w:vAlign w:val="bottom"/>
            <w:hideMark/>
          </w:tcPr>
          <w:p w:rsidR="00C00BB1" w:rsidRDefault="00C00BB1">
            <w:pPr>
              <w:widowControl/>
              <w:autoSpaceDE/>
              <w:adjustRightInd/>
              <w:jc w:val="center"/>
              <w:rPr>
                <w:rFonts w:ascii="Arial" w:hAnsi="Arial" w:cs="Arial"/>
                <w:bCs/>
                <w:lang w:val="en-US"/>
              </w:rPr>
            </w:pPr>
            <w:r>
              <w:rPr>
                <w:rFonts w:ascii="Arial" w:hAnsi="Arial" w:cs="Arial"/>
                <w:bCs/>
                <w:lang w:val="en-US"/>
              </w:rPr>
              <w:t>8.9</w:t>
            </w:r>
          </w:p>
        </w:tc>
      </w:tr>
    </w:tbl>
    <w:p w:rsidR="00C00BB1" w:rsidRDefault="00C00BB1" w:rsidP="00C00BB1">
      <w:pPr>
        <w:rPr>
          <w:b/>
          <w:bCs/>
          <w:sz w:val="24"/>
          <w:szCs w:val="24"/>
        </w:rPr>
      </w:pPr>
    </w:p>
    <w:p w:rsidR="00C00BB1" w:rsidRDefault="00C00BB1" w:rsidP="00C00BB1">
      <w:pPr>
        <w:ind w:firstLine="720"/>
        <w:rPr>
          <w:bCs/>
          <w:sz w:val="24"/>
          <w:szCs w:val="24"/>
        </w:rPr>
      </w:pPr>
      <w:r>
        <w:rPr>
          <w:bCs/>
          <w:sz w:val="24"/>
          <w:szCs w:val="24"/>
        </w:rPr>
        <w:t>We recommend that instructors delete the cell entries under these columns and distribute the spreadsheet to students. As this is a very simple use of a spreadsheet, it makes a good introduction for students who have not used them before.</w:t>
      </w:r>
    </w:p>
    <w:p w:rsidR="00C00BB1" w:rsidRDefault="00C00BB1" w:rsidP="00C00BB1">
      <w:pPr>
        <w:ind w:firstLine="720"/>
        <w:rPr>
          <w:bCs/>
          <w:sz w:val="24"/>
          <w:szCs w:val="24"/>
        </w:rPr>
      </w:pPr>
    </w:p>
    <w:p w:rsidR="00C00BB1" w:rsidRDefault="00C00BB1" w:rsidP="00C00BB1">
      <w:pPr>
        <w:ind w:firstLine="720"/>
        <w:rPr>
          <w:bCs/>
          <w:sz w:val="24"/>
          <w:szCs w:val="24"/>
        </w:rPr>
      </w:pPr>
      <w:r>
        <w:rPr>
          <w:bCs/>
          <w:sz w:val="24"/>
          <w:szCs w:val="24"/>
        </w:rPr>
        <w:t xml:space="preserve">As an alternative, instructors can distribute the spreadsheet as provided and give the students a different set of costs and benefits.  </w:t>
      </w:r>
    </w:p>
    <w:p w:rsidR="001B7DEC" w:rsidRDefault="001B7DEC">
      <w:bookmarkStart w:id="0" w:name="_GoBack"/>
      <w:bookmarkEnd w:id="0"/>
    </w:p>
    <w:sectPr w:rsidR="001B7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20FC"/>
    <w:multiLevelType w:val="hybridMultilevel"/>
    <w:tmpl w:val="59581DBA"/>
    <w:lvl w:ilvl="0" w:tplc="04090017">
      <w:start w:val="1"/>
      <w:numFmt w:val="lowerLetter"/>
      <w:lvlText w:val="%1)"/>
      <w:lvlJc w:val="left"/>
      <w:pPr>
        <w:ind w:left="720" w:hanging="360"/>
      </w:pPr>
    </w:lvl>
    <w:lvl w:ilvl="1" w:tplc="E51888B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331812"/>
    <w:multiLevelType w:val="hybridMultilevel"/>
    <w:tmpl w:val="2E82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6042561"/>
    <w:multiLevelType w:val="hybridMultilevel"/>
    <w:tmpl w:val="583674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0550DF"/>
    <w:multiLevelType w:val="hybridMultilevel"/>
    <w:tmpl w:val="81168D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0752F10"/>
    <w:multiLevelType w:val="hybridMultilevel"/>
    <w:tmpl w:val="6158EA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3D"/>
    <w:rsid w:val="001B7DEC"/>
    <w:rsid w:val="00C00BB1"/>
    <w:rsid w:val="00C8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B1"/>
    <w:pPr>
      <w:widowControl w:val="0"/>
      <w:autoSpaceDE w:val="0"/>
      <w:autoSpaceDN w:val="0"/>
      <w:adjustRightInd w:val="0"/>
      <w:spacing w:after="0" w:line="240" w:lineRule="auto"/>
    </w:pPr>
    <w:rPr>
      <w:rFonts w:ascii="Times New Roman" w:eastAsia="Times New Roman" w:hAnsi="Times New Roman" w:cs="Times New Roman"/>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B1"/>
    <w:pPr>
      <w:widowControl w:val="0"/>
      <w:autoSpaceDE w:val="0"/>
      <w:autoSpaceDN w:val="0"/>
      <w:adjustRightInd w:val="0"/>
      <w:spacing w:after="0" w:line="240" w:lineRule="auto"/>
    </w:pPr>
    <w:rPr>
      <w:rFonts w:ascii="Times New Roman" w:eastAsia="Times New Roman" w:hAnsi="Times New Roman" w:cs="Times New Roman"/>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2021-02-05T14:46:00Z</dcterms:created>
  <dcterms:modified xsi:type="dcterms:W3CDTF">2021-02-05T14:46:00Z</dcterms:modified>
</cp:coreProperties>
</file>